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eastAsia="黑体"/>
          <w:b/>
          <w:sz w:val="36"/>
          <w:szCs w:val="36"/>
        </w:rPr>
      </w:pPr>
      <w:r>
        <w:rPr>
          <w:rFonts w:hint="eastAsia" w:ascii="Calibri" w:hAnsi="Calibri" w:eastAsia="黑体" w:cs="Times New Roman"/>
          <w:b/>
          <w:sz w:val="36"/>
          <w:szCs w:val="36"/>
        </w:rPr>
        <w:t>泌尿外科 “</w:t>
      </w:r>
      <w:r>
        <w:rPr>
          <w:rFonts w:hint="eastAsia" w:eastAsia="黑体"/>
          <w:b/>
          <w:sz w:val="36"/>
          <w:szCs w:val="36"/>
        </w:rPr>
        <w:t>单通道脉管闭合发生器</w:t>
      </w:r>
      <w:r>
        <w:rPr>
          <w:rFonts w:hint="eastAsia" w:ascii="Calibri" w:hAnsi="Calibri" w:eastAsia="黑体" w:cs="Times New Roman"/>
          <w:b/>
          <w:sz w:val="36"/>
          <w:szCs w:val="36"/>
        </w:rPr>
        <w:t>”</w:t>
      </w:r>
      <w:r>
        <w:rPr>
          <w:rFonts w:ascii="Calibri" w:hAnsi="Calibri" w:eastAsia="黑体" w:cs="Times New Roman"/>
          <w:b/>
          <w:sz w:val="36"/>
          <w:szCs w:val="36"/>
        </w:rPr>
        <w:t>招标需</w:t>
      </w:r>
      <w:r>
        <w:rPr>
          <w:rFonts w:hint="eastAsia" w:ascii="Calibri" w:hAnsi="Calibri" w:eastAsia="黑体" w:cs="Times New Roman"/>
          <w:b/>
          <w:sz w:val="36"/>
          <w:szCs w:val="36"/>
        </w:rPr>
        <w:t>求一览</w:t>
      </w:r>
      <w:r>
        <w:rPr>
          <w:rFonts w:ascii="Calibri" w:hAnsi="Calibri" w:eastAsia="黑体" w:cs="Times New Roman"/>
          <w:b/>
          <w:sz w:val="36"/>
          <w:szCs w:val="36"/>
        </w:rPr>
        <w:t>表</w:t>
      </w:r>
    </w:p>
    <w:tbl>
      <w:tblPr>
        <w:tblStyle w:val="3"/>
        <w:tblW w:w="9668" w:type="dxa"/>
        <w:jc w:val="center"/>
        <w:tblInd w:w="4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0"/>
        <w:gridCol w:w="5107"/>
        <w:gridCol w:w="2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产品主要用途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jc w:val="left"/>
              <w:rPr>
                <w:rFonts w:ascii="华文中宋" w:hAnsi="华文中宋" w:eastAsia="华文中宋" w:cs="华文中宋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该设备能快速、安全的对组织、大血管及淋巴管进行分离、结扎、及止血，大大提高手术的安全性，同时为手术处理带来极大的方便，简化手术操作，缩短手术时间、减少术中出血，可以替代传统缝线、钛夹等器械。业界顶尖的可靠止血与血管凝闭功能，更佳的手术视野以及更少的周围热损伤，在降低了手术成本的同时，极大减轻了病人手术的额外风险与痛苦，缩短病人术后恢复时间，提高临床病人周转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安装场地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Calibri" w:hAnsi="Calibri" w:eastAsia="楷体_GB2312" w:cs="Times New Roman"/>
                <w:b/>
                <w:sz w:val="24"/>
                <w:szCs w:val="24"/>
              </w:rPr>
              <w:t>手术室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使用环境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Calibri" w:hAnsi="Calibri" w:eastAsia="楷体_GB2312" w:cs="Times New Roman"/>
                <w:b/>
                <w:sz w:val="24"/>
                <w:szCs w:val="24"/>
              </w:rPr>
              <w:t>温度、湿度无特殊要求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技术参数要求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主要配置名称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具体性能与参数要求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ascii="Calibri" w:hAnsi="Calibri" w:eastAsia="宋体" w:cs="Times New Roman"/>
                <w:b/>
                <w:sz w:val="24"/>
              </w:rPr>
              <w:t>硬件配置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4"/>
              </w:rPr>
              <w:t>★1、闭合直径≤7mm的血管、淋巴管和组织束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4"/>
                <w:lang w:eastAsia="zh-CN"/>
              </w:rPr>
              <w:t>。</w:t>
            </w:r>
          </w:p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4"/>
              </w:rPr>
              <w:t>▲2、具备TissueFect组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4"/>
              </w:rPr>
              <w:t>织感应技术，≥20000次/秒检测组织阻抗，实时调整输出，实时调控，1-4秒完成闭合周期。</w:t>
            </w:r>
          </w:p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4"/>
              </w:rPr>
              <w:t>▲3、具备直径为10mm和5mm的腔镜手术器械，以及直径为5mm、10mm及13.5mm的开放式手术器械。</w:t>
            </w:r>
          </w:p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4"/>
              </w:rPr>
              <w:t>▲4、自动识别手持器械，并自动设置相应的主机参数；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4"/>
              </w:rPr>
              <w:t>5、具备对血管、淋巴管和组织束的闭合、切割、分离一体的功能。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ascii="Calibri" w:hAnsi="Calibri" w:eastAsia="宋体" w:cs="Times New Roman"/>
                <w:b/>
                <w:sz w:val="24"/>
              </w:rPr>
              <w:t>软件配置</w:t>
            </w:r>
          </w:p>
        </w:tc>
        <w:tc>
          <w:tcPr>
            <w:tcW w:w="7308" w:type="dxa"/>
            <w:gridSpan w:val="2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系统内置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设备配置清单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360" w:lineRule="auto"/>
              <w:ind w:left="-143" w:leftChars="-51" w:right="-143" w:rightChars="-51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 w:ascii="黑体" w:eastAsia="黑体"/>
                <w:color w:val="000000"/>
                <w:sz w:val="21"/>
                <w:szCs w:val="21"/>
              </w:rPr>
              <w:t>V</w:t>
            </w:r>
            <w:r>
              <w:rPr>
                <w:rFonts w:ascii="黑体" w:eastAsia="黑体"/>
                <w:color w:val="000000"/>
                <w:sz w:val="21"/>
                <w:szCs w:val="21"/>
              </w:rPr>
              <w:t>LLS10GEN</w:t>
            </w:r>
          </w:p>
        </w:tc>
        <w:tc>
          <w:tcPr>
            <w:tcW w:w="2201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 w:ascii="黑体" w:eastAsia="黑体"/>
                <w:color w:val="000000"/>
                <w:sz w:val="21"/>
                <w:szCs w:val="21"/>
              </w:rPr>
              <w:t>L</w:t>
            </w:r>
            <w:r>
              <w:rPr>
                <w:rFonts w:ascii="黑体" w:eastAsia="黑体"/>
                <w:color w:val="000000"/>
                <w:sz w:val="21"/>
                <w:szCs w:val="21"/>
              </w:rPr>
              <w:t>F1737</w:t>
            </w:r>
          </w:p>
        </w:tc>
        <w:tc>
          <w:tcPr>
            <w:tcW w:w="2201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 w:ascii="黑体" w:eastAsia="黑体"/>
                <w:color w:val="000000"/>
                <w:sz w:val="21"/>
                <w:szCs w:val="21"/>
              </w:rPr>
              <w:t>L</w:t>
            </w:r>
            <w:r>
              <w:rPr>
                <w:rFonts w:ascii="黑体" w:eastAsia="黑体"/>
                <w:color w:val="000000"/>
                <w:sz w:val="21"/>
                <w:szCs w:val="21"/>
              </w:rPr>
              <w:t>F</w:t>
            </w:r>
            <w:r>
              <w:rPr>
                <w:rFonts w:hint="eastAsia" w:ascii="黑体" w:eastAsia="黑体"/>
                <w:color w:val="000000"/>
                <w:sz w:val="21"/>
                <w:szCs w:val="21"/>
              </w:rPr>
              <w:t>1637</w:t>
            </w:r>
          </w:p>
        </w:tc>
        <w:tc>
          <w:tcPr>
            <w:tcW w:w="2201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 xml:space="preserve">备注： 1、带“★”符号项目为必须满足指标，若出现一项负偏离，则视为废标      </w:t>
            </w:r>
          </w:p>
          <w:p>
            <w:pPr>
              <w:ind w:firstLine="843" w:firstLineChars="350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2、带“▲”符号项目为重要指标，若出现三项及以上负偏离，则视为废标</w:t>
            </w:r>
          </w:p>
          <w:p>
            <w:pPr>
              <w:ind w:firstLine="843" w:firstLineChars="350"/>
              <w:rPr>
                <w:rFonts w:ascii="楷体_GB2312" w:hAnsi="宋体" w:eastAsia="楷体_GB2312"/>
                <w:b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3、其他项目为一般指标，若出现五项及以上负偏离，则视为废标</w:t>
            </w:r>
          </w:p>
        </w:tc>
      </w:tr>
    </w:tbl>
    <w:p>
      <w:pPr>
        <w:rPr>
          <w:rFonts w:hint="eastAsia"/>
        </w:rPr>
      </w:pPr>
    </w:p>
    <w:p>
      <w:r>
        <w:rPr>
          <w:rFonts w:hint="eastAsia" w:ascii="楷体" w:hAnsi="楷体" w:eastAsia="楷体" w:cs="楷体"/>
          <w:b/>
          <w:bCs/>
          <w:sz w:val="24"/>
        </w:rPr>
        <w:t>科室主任：                                                科室代表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E53ABE"/>
    <w:rsid w:val="1FE53ABE"/>
    <w:rsid w:val="70132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2018-12-13T08:25:00Z</dcterms:created>
  <dc:creator>wuxuan</dc:creator>
  <cp:lastModifiedBy>cgzx</cp:lastModifiedBy>
  <dcterms:modified xsi:type="dcterms:W3CDTF">2019-01-31T01:46:59Z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